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E00B" w14:textId="3A15967E" w:rsidR="00AD1EBE" w:rsidRDefault="00AD1EBE" w:rsidP="00497948">
      <w:pPr>
        <w:spacing w:after="0" w:line="240" w:lineRule="auto"/>
        <w:contextualSpacing/>
        <w:jc w:val="center"/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</w:pPr>
      <w:r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INTERNAL AUDIT AGENCY</w:t>
      </w:r>
    </w:p>
    <w:p w14:paraId="693B1FFC" w14:textId="3D1CCAAD" w:rsidR="00AD1EBE" w:rsidRDefault="00AD1EBE" w:rsidP="00497948">
      <w:pPr>
        <w:spacing w:after="0" w:line="240" w:lineRule="auto"/>
        <w:contextualSpacing/>
        <w:jc w:val="center"/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</w:pPr>
      <w:r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2023</w:t>
      </w:r>
    </w:p>
    <w:p w14:paraId="1DE099AA" w14:textId="3F947D01" w:rsidR="00497948" w:rsidRDefault="00497948" w:rsidP="00497948">
      <w:pPr>
        <w:spacing w:after="0" w:line="240" w:lineRule="auto"/>
        <w:contextualSpacing/>
        <w:jc w:val="center"/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</w:pPr>
      <w:r w:rsidRPr="004E127D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Com</w:t>
      </w:r>
      <w:r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mitment</w:t>
      </w:r>
      <w:r w:rsidRPr="004E127D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 xml:space="preserve"> Implementation Plan Update</w:t>
      </w:r>
      <w:r w:rsidR="00CA5C97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 xml:space="preserve"> from 2021-December, 2022</w:t>
      </w:r>
    </w:p>
    <w:p w14:paraId="145EB663" w14:textId="7A380FD6" w:rsidR="00497948" w:rsidRPr="005F72A6" w:rsidRDefault="006B5A17" w:rsidP="005F72A6">
      <w:pPr>
        <w:spacing w:after="0" w:line="240" w:lineRule="auto"/>
        <w:contextualSpacing/>
        <w:jc w:val="center"/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</w:pPr>
      <w:r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OPEN GOVERNMENT PARTERSHIP</w:t>
      </w:r>
    </w:p>
    <w:tbl>
      <w:tblPr>
        <w:tblpPr w:leftFromText="180" w:rightFromText="180" w:vertAnchor="text" w:horzAnchor="page" w:tblpX="801" w:tblpY="328"/>
        <w:tblW w:w="14024" w:type="dxa"/>
        <w:tblLook w:val="04A0" w:firstRow="1" w:lastRow="0" w:firstColumn="1" w:lastColumn="0" w:noHBand="0" w:noVBand="1"/>
      </w:tblPr>
      <w:tblGrid>
        <w:gridCol w:w="941"/>
        <w:gridCol w:w="2096"/>
        <w:gridCol w:w="2017"/>
        <w:gridCol w:w="1912"/>
        <w:gridCol w:w="2270"/>
        <w:gridCol w:w="2448"/>
        <w:gridCol w:w="2340"/>
      </w:tblGrid>
      <w:tr w:rsidR="0012305D" w:rsidRPr="004E127D" w14:paraId="4F49211B" w14:textId="77777777" w:rsidTr="00AD4591">
        <w:trPr>
          <w:trHeight w:val="4300"/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1087BCCC" w14:textId="77777777" w:rsidR="00497948" w:rsidRDefault="00497948" w:rsidP="005F72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4262A6DD" w14:textId="77777777" w:rsidR="00497948" w:rsidRPr="004E127D" w:rsidRDefault="00497948" w:rsidP="005F72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REF. NO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A8546F" w14:textId="77777777" w:rsidR="00497948" w:rsidRPr="004E127D" w:rsidRDefault="00497948" w:rsidP="005F72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</w:rPr>
              <w:t>COMMITMENT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BC1299" w14:textId="77777777" w:rsidR="00497948" w:rsidRPr="004E127D" w:rsidRDefault="00497948" w:rsidP="005F72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MILESTONE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223D1D" w14:textId="77777777" w:rsidR="00497948" w:rsidRPr="004E127D" w:rsidRDefault="00497948" w:rsidP="005F72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STATUS MILESTONE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8F70F4" w14:textId="77777777" w:rsidR="00497948" w:rsidRDefault="00497948" w:rsidP="005F72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10ED1E4E" w14:textId="77777777" w:rsidR="00497948" w:rsidRPr="004E127D" w:rsidRDefault="00497948" w:rsidP="005F72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DESCRIPTION OF THE STATUS OF MILESTONES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B04BC2" w14:textId="77777777" w:rsidR="00497948" w:rsidRDefault="00497948" w:rsidP="005F72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4D573EDF" w14:textId="77777777" w:rsidR="00497948" w:rsidRPr="004E127D" w:rsidRDefault="00497948" w:rsidP="00E9130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REASONS FOR OVER OR UNDER ACHIEVEMENT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13D258" w14:textId="77777777" w:rsidR="00497948" w:rsidRDefault="00497948" w:rsidP="005F72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3E7951EF" w14:textId="77777777" w:rsidR="00497948" w:rsidRPr="004E127D" w:rsidRDefault="00497948" w:rsidP="005F72A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NEXT STEPS</w:t>
            </w:r>
          </w:p>
        </w:tc>
      </w:tr>
      <w:tr w:rsidR="0012305D" w:rsidRPr="004E127D" w14:paraId="44CD30DD" w14:textId="77777777" w:rsidTr="005F72A6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7D622" w14:textId="77777777" w:rsidR="00497948" w:rsidRPr="004E127D" w:rsidRDefault="00497948" w:rsidP="005F72A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C193" w14:textId="77777777" w:rsidR="00497948" w:rsidRPr="004E127D" w:rsidRDefault="00497948" w:rsidP="005F72A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FB79" w14:textId="77777777" w:rsidR="00497948" w:rsidRPr="004E127D" w:rsidRDefault="00497948" w:rsidP="005F72A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006FB" w14:textId="77777777" w:rsidR="00497948" w:rsidRPr="004E127D" w:rsidRDefault="00497948" w:rsidP="005F72A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8A399" w14:textId="41955FD6" w:rsidR="00497948" w:rsidRPr="00AD4591" w:rsidRDefault="00497948" w:rsidP="005F72A6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0B50" w14:textId="31D23106" w:rsidR="00497948" w:rsidRPr="00AD4591" w:rsidRDefault="00497948" w:rsidP="00AD4591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B0A9" w14:textId="3114F7A0" w:rsidR="00497948" w:rsidRPr="00AD4591" w:rsidRDefault="00497948" w:rsidP="00AD4591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</w:tc>
      </w:tr>
      <w:tr w:rsidR="0012305D" w:rsidRPr="004E127D" w14:paraId="225BC268" w14:textId="77777777" w:rsidTr="005F72A6">
        <w:trPr>
          <w:trHeight w:val="4472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87697" w14:textId="77777777" w:rsidR="00642FA6" w:rsidRPr="005F72A6" w:rsidRDefault="00642F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2C57" w14:textId="2C52ED15" w:rsidR="00642FA6" w:rsidRPr="005F72A6" w:rsidRDefault="00642FA6" w:rsidP="005F72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0D648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Ensure effective implementation of recommendations of Public Accounts Committee by Ministries, Departments and Agencies as well as Metropolitan, Municipal and District Assemblies</w:t>
            </w:r>
            <w:r w:rsidR="00635F8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,</w:t>
            </w:r>
            <w:r w:rsidRPr="000D648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State Owned Enterprises (SoEs) and Independent Constitutional Bodies (ICBs).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C2E6" w14:textId="045DF854" w:rsidR="00642FA6" w:rsidRPr="005F72A6" w:rsidRDefault="00642F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Ensure effective implementation of recommendations of Public Accounts Committee by Ministries, Departments and Agencies as well as Metropolitan, Municipal and District Assemblies</w:t>
            </w:r>
            <w:r w:rsidR="00635F8C"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,</w:t>
            </w:r>
            <w:r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State Owned Enterprises (SoEs) and Independent Constitutional Bodies (ICBs).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BB5D" w14:textId="4F9D0403" w:rsidR="00642FA6" w:rsidRPr="005F72A6" w:rsidRDefault="000849C3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75</w:t>
            </w:r>
            <w:r w:rsidR="00642FA6"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% of the Public Accounts Committee</w:t>
            </w:r>
            <w:r w:rsidR="00635F8C"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recommendations</w:t>
            </w:r>
            <w:r w:rsidR="00642FA6"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have been implemented by the Ministries, Departments and Agencies as well as Metropolitan, Municipal and District Assemblies</w:t>
            </w:r>
            <w:r w:rsidR="00635F8C"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,</w:t>
            </w:r>
            <w:r w:rsidR="00642FA6"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State Owned Enterprises (SoEs) and Independent Constitutional Bodies (ICBs).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8F747" w14:textId="77777777" w:rsidR="00642FA6" w:rsidRDefault="00642FA6" w:rsidP="005F72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Directives to Audit Committees and IAUs.</w:t>
            </w:r>
          </w:p>
          <w:p w14:paraId="2413442C" w14:textId="77777777" w:rsidR="00642FA6" w:rsidRPr="005F72A6" w:rsidRDefault="00642FA6" w:rsidP="005F72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1.Ref. DG/03/2022/45. Directive to Institutions to Conduct Emergency Audit Committee Meetings on the 2021 Auditor-General’s Reports. Dated 9th September 2022.</w:t>
            </w:r>
          </w:p>
          <w:p w14:paraId="122B1C9C" w14:textId="77777777" w:rsidR="00642FA6" w:rsidRPr="005F72A6" w:rsidRDefault="00642FA6" w:rsidP="005F72A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64288F09" w14:textId="094EE800" w:rsidR="00642FA6" w:rsidRPr="005F72A6" w:rsidRDefault="00642F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2.Notice Number; IAA/01/01/2023 on Implementation of Fiscal Consolidation measures in the 2023 Budget Statement and Economic Policy of Ghana. Dated 10/01/2023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B94" w14:textId="7CECB449" w:rsidR="00642FA6" w:rsidRPr="004E127D" w:rsidRDefault="00AD4591" w:rsidP="00AD4591">
            <w:pPr>
              <w:widowControl w:val="0"/>
              <w:suppressAutoHyphens/>
              <w:spacing w:after="0" w:line="240" w:lineRule="auto"/>
              <w:rPr>
                <w:rFonts w:ascii="Candara" w:eastAsia="Times New Roman" w:hAnsi="Candara" w:cs="Times New Roman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The increased in the implementation is due to improved strategics of Internal Audit Agency/Audit Committees to ensure that the ACs meet on the Auditor-General’s report as quickly as possible.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1CA5" w14:textId="4C1E4F2C" w:rsidR="00642FA6" w:rsidRPr="004E127D" w:rsidRDefault="00642FA6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Follow up to confirm the status of implementation.</w:t>
            </w:r>
          </w:p>
        </w:tc>
      </w:tr>
      <w:tr w:rsidR="00E020F5" w:rsidRPr="004E127D" w14:paraId="0CAD09E1" w14:textId="77777777" w:rsidTr="005F72A6">
        <w:trPr>
          <w:trHeight w:val="557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F4C0E" w14:textId="77777777" w:rsidR="00E020F5" w:rsidRPr="005F72A6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56650" w14:textId="77777777" w:rsidR="00E020F5" w:rsidRPr="005F72A6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2F1DC" w14:textId="50F31A7F" w:rsidR="00E020F5" w:rsidRPr="005F72A6" w:rsidRDefault="00E020F5" w:rsidP="005F72A6">
            <w:pP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1.1.1.1:   Internal Audit Agency to build the capacity through </w:t>
            </w:r>
            <w:r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>training and support measures of at least 70% of Audit Committees of MDAs, MMDAs, SoEs and ICBs to implement PAC recommendations a well as carry out Information System Audit On-Site support training for IAUs of Covered Entities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8D38" w14:textId="0015EC1E" w:rsidR="00E020F5" w:rsidRPr="00AD4591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>Number of Covered Entities trained on Working Paper Management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6068" w14:textId="373430BB" w:rsidR="00E020F5" w:rsidRPr="00AD4591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Seven-Hundred and Eleven (711) public officers from One hundred and seven (108) </w:t>
            </w: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>covered entities in Working Paper Management, Guidelines to handling Audit queries and Contemporary Internal Audit Practice in Public Sector.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F10" w14:textId="77777777" w:rsidR="00E020F5" w:rsidRPr="004E127D" w:rsidRDefault="00E020F5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4159" w14:textId="02D19A5A" w:rsidR="00E020F5" w:rsidRPr="007710E2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7710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800 Audit Committee members capacity would be built by September 2023.</w:t>
            </w:r>
          </w:p>
          <w:p w14:paraId="0CC21505" w14:textId="488D3006" w:rsidR="00E020F5" w:rsidRPr="004E127D" w:rsidRDefault="00E020F5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  <w:r w:rsidRPr="007710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lastRenderedPageBreak/>
              <w:t>539 Audit committee Secretar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ies</w:t>
            </w:r>
            <w:r w:rsidRPr="007710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capacity would be built by September 2023</w:t>
            </w:r>
          </w:p>
        </w:tc>
      </w:tr>
      <w:tr w:rsidR="00E020F5" w:rsidRPr="004E127D" w14:paraId="64C3F091" w14:textId="77777777" w:rsidTr="005F72A6">
        <w:trPr>
          <w:trHeight w:val="1020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D62CCEC" w14:textId="77777777" w:rsidR="00E020F5" w:rsidRPr="005F72A6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C52F9" w14:textId="77777777" w:rsidR="00E020F5" w:rsidRPr="005F72A6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AE8011B" w14:textId="77777777" w:rsidR="00E020F5" w:rsidRPr="005F72A6" w:rsidRDefault="00E020F5" w:rsidP="005F72A6">
            <w:pP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F632A" w14:textId="6CD40667" w:rsidR="00E020F5" w:rsidRPr="00AD4591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Number of officers trained on Working Paper Management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C33EC" w14:textId="77777777" w:rsidR="00E020F5" w:rsidRPr="00AD4591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D3A1" w14:textId="77777777" w:rsidR="00E020F5" w:rsidRPr="004E127D" w:rsidRDefault="00E020F5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9ABB" w14:textId="77777777" w:rsidR="00E020F5" w:rsidRPr="007710E2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20F5" w:rsidRPr="004E127D" w14:paraId="3499F47A" w14:textId="77777777" w:rsidTr="005F72A6">
        <w:trPr>
          <w:trHeight w:val="96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583DBC" w14:textId="77777777" w:rsidR="00E020F5" w:rsidRPr="005F72A6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37AD" w14:textId="77777777" w:rsidR="00E020F5" w:rsidRPr="005F72A6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275D4A4" w14:textId="77777777" w:rsidR="00E020F5" w:rsidRPr="005F72A6" w:rsidRDefault="00E020F5" w:rsidP="005F72A6">
            <w:pP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8DE4" w14:textId="1D067D2E" w:rsidR="00E020F5" w:rsidRPr="00AD4591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Two hundred (200) Audit Committee Members expected to be trained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F367A" w14:textId="1C9CAF3A" w:rsidR="00E020F5" w:rsidRPr="00AD4591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Training was provided for Ten</w:t>
            </w:r>
            <w:r w:rsidR="0063703F"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</w:t>
            </w: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(10) Audit Committee members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736" w14:textId="77777777" w:rsidR="00E020F5" w:rsidRPr="004E127D" w:rsidRDefault="00E020F5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81A1" w14:textId="77777777" w:rsidR="00E020F5" w:rsidRPr="007710E2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20F5" w:rsidRPr="004E127D" w14:paraId="498FBE89" w14:textId="77777777" w:rsidTr="005F72A6">
        <w:trPr>
          <w:trHeight w:val="1718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5CE5C" w14:textId="77777777" w:rsidR="00E020F5" w:rsidRPr="005F72A6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A652F" w14:textId="77777777" w:rsidR="00E020F5" w:rsidRPr="005F72A6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873AC" w14:textId="77777777" w:rsidR="00E020F5" w:rsidRPr="005F72A6" w:rsidRDefault="00E020F5" w:rsidP="005F72A6">
            <w:pP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A5EC8" w14:textId="31F256CD" w:rsidR="00E020F5" w:rsidRPr="00AD4591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Information System Audit On- Site Support Training expected to be conducted for IAUs of Covered Entities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31292" w14:textId="0D45310F" w:rsidR="00E020F5" w:rsidRPr="00AD4591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Virtual Training on Information Systems (IS) Audit was provided for Three-Hundred and forty-nine (349) Internal Audit Staff of Covered Entities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4E1" w14:textId="77777777" w:rsidR="00E020F5" w:rsidRPr="004E127D" w:rsidRDefault="00E020F5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3D68" w14:textId="77777777" w:rsidR="00E020F5" w:rsidRPr="007710E2" w:rsidRDefault="00E020F5" w:rsidP="005F72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15425" w:rsidRPr="004E127D" w14:paraId="3096EB86" w14:textId="77777777" w:rsidTr="005F72A6">
        <w:trPr>
          <w:trHeight w:val="1610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3DDFCE" w14:textId="77777777" w:rsidR="00A15425" w:rsidRPr="005F72A6" w:rsidRDefault="00A1542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FBB61" w14:textId="77777777" w:rsidR="00A15425" w:rsidRPr="005F72A6" w:rsidRDefault="00A1542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3842E09" w14:textId="289B9CEC" w:rsidR="00A15425" w:rsidRPr="005F72A6" w:rsidRDefault="00A1542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1.1.1.2: Internal Audit Agency trains 70% of Audit Committees of MDAs, MMDAs, SoEs, ICBs in Enterprise Risk Management (ERM), </w:t>
            </w:r>
            <w:r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 xml:space="preserve">International Public Sector Accounting Standards (IPSAS), Risk-based Internal Audit (RBIA), Corporate Governance, Meeting Procedures and Report Writing as well as training on Audit Committee Reporting Templates   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E6F925" w14:textId="085EEAEA" w:rsidR="00A15425" w:rsidRPr="00AD4591" w:rsidRDefault="00A1542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 xml:space="preserve">ERM practice expected to be established in twenty (20) MDAs, MMDA, SOEs and Others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F0CD2C" w14:textId="4E7D2D59" w:rsidR="00A15425" w:rsidRPr="00AD4591" w:rsidRDefault="00A15425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Fourteen (14) Covered Entities made up of three hundred and forty-seven (347) Management and key staff, including staff of the IAUs were trained on ERM.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FBC476" w14:textId="77777777" w:rsidR="00A15425" w:rsidRPr="004E127D" w:rsidRDefault="00A15425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B48A" w14:textId="0F37694A" w:rsidR="00A15425" w:rsidRPr="004E127D" w:rsidRDefault="00A15425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  <w:r>
              <w:rPr>
                <w:rFonts w:ascii="Candara" w:eastAsia="Times New Roman" w:hAnsi="Candara" w:cs="Times New Roman"/>
              </w:rPr>
              <w:t xml:space="preserve">800 Audit Committee members would be trained in Enterprise Risk Management and </w:t>
            </w:r>
            <w:r>
              <w:rPr>
                <w:rFonts w:ascii="Candara" w:eastAsia="Times New Roman" w:hAnsi="Candara" w:cs="Times New Roman"/>
              </w:rPr>
              <w:lastRenderedPageBreak/>
              <w:t>Risk Based Internal Audit.</w:t>
            </w:r>
          </w:p>
        </w:tc>
      </w:tr>
      <w:tr w:rsidR="005F72A6" w:rsidRPr="004E127D" w14:paraId="39EBCF90" w14:textId="77777777" w:rsidTr="005F72A6">
        <w:trPr>
          <w:trHeight w:val="2120"/>
        </w:trPr>
        <w:tc>
          <w:tcPr>
            <w:tcW w:w="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0CFDBC8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2F79C5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5F6CE9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418401" w14:textId="77777777" w:rsidR="005F72A6" w:rsidRPr="00AD4591" w:rsidRDefault="005F72A6" w:rsidP="005F72A6">
            <w:pP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Four hundred (400) Internal Audit Staff expected to be trained on the use of the RBIA Audit Manual</w:t>
            </w:r>
          </w:p>
          <w:p w14:paraId="58E1E12A" w14:textId="77777777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7DCC6" w14:textId="7371D794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Nine (9) officers from one (1) covered entity have undergone RBIA training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2D93F0" w14:textId="77777777" w:rsidR="005F72A6" w:rsidRPr="004E127D" w:rsidRDefault="005F72A6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2956" w14:textId="77777777" w:rsidR="005F72A6" w:rsidRDefault="005F72A6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</w:tr>
      <w:tr w:rsidR="005F72A6" w:rsidRPr="004E127D" w14:paraId="663DDA5F" w14:textId="77777777" w:rsidTr="005F72A6">
        <w:trPr>
          <w:trHeight w:val="162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5B146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A876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1B580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A214" w14:textId="77777777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40B" w14:textId="77777777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E7A" w14:textId="77777777" w:rsidR="005F72A6" w:rsidRPr="004E127D" w:rsidRDefault="005F72A6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80D" w14:textId="77777777" w:rsidR="005F72A6" w:rsidRPr="004E127D" w:rsidRDefault="005F72A6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</w:tr>
      <w:tr w:rsidR="005F72A6" w:rsidRPr="004E127D" w14:paraId="3B49C9CD" w14:textId="77777777" w:rsidTr="00AD4591">
        <w:trPr>
          <w:trHeight w:val="443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72E00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C9289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E781F" w14:textId="7827E779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1.1.1.3: Internal Audit Agency collaborate with selected CSOs working on this commitment to carry out at least an assessment of the level of compliance with the various recommendations in sampled 30% of MDAs, MMDAs, </w:t>
            </w:r>
            <w:r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 xml:space="preserve">SoEs, ICBs during the span of the NAP-4.  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F31BC0" w14:textId="40A5A297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>Ten (10) projects expected to be identified, monitored and report issued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7C4A19" w14:textId="23DE4190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Two development projects identified and monitored namely: The PFM League Table and the District Accountability Index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783" w14:textId="77777777" w:rsidR="005F72A6" w:rsidRPr="004E127D" w:rsidRDefault="005F72A6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6BAE" w14:textId="5F0C204F" w:rsidR="005F72A6" w:rsidRPr="004E127D" w:rsidRDefault="005F72A6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The Agency would continue to collaborate with CSOs to implement audit recommendations.</w:t>
            </w:r>
          </w:p>
        </w:tc>
      </w:tr>
      <w:tr w:rsidR="005F72A6" w:rsidRPr="004E127D" w14:paraId="1243437B" w14:textId="77777777" w:rsidTr="005F72A6">
        <w:trPr>
          <w:trHeight w:val="1007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E6B98D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91E13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AB3C687" w14:textId="6F40575B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F72A6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1.1.1.4: Support the Audit Committees to work with management to implement Audit findings in specific thrust areas identified by the Auditor-General and Internal Auditors such as Cash, Procurement, Contract, Recoverable debts, Loans and outstanding, Tax Irregularities, advances unpaid or unretired, unpaid rent etc.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D3D3D4" w14:textId="1144B9FB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500 out of 513 ACs would be monitored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723AFE" w14:textId="47672F9A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296 Audit Committees were monitored to assess their performance and report submitted.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4DE6FB" w14:textId="77777777" w:rsidR="005F72A6" w:rsidRPr="004E127D" w:rsidRDefault="005F72A6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1AAD" w14:textId="4439A24C" w:rsidR="005F72A6" w:rsidRPr="004E127D" w:rsidRDefault="005F72A6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Monitoring of Audit Committees and Follow Up on the implementation of the Internal and Auditor-General recommendations would continue in 2023 and beyond.</w:t>
            </w:r>
          </w:p>
        </w:tc>
      </w:tr>
      <w:tr w:rsidR="005F72A6" w:rsidRPr="004E127D" w14:paraId="44335413" w14:textId="77777777" w:rsidTr="005F72A6">
        <w:trPr>
          <w:trHeight w:val="7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CF82AF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537B0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0C612B0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C7A2CF" w14:textId="5C99F219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513 Annual Audit Committees’ reports received and reviewed.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E98A0B" w14:textId="14F8B451" w:rsidR="005F72A6" w:rsidRPr="00AD4591" w:rsidRDefault="005F72A6" w:rsidP="005F72A6">
            <w:pP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Audit Committees of 461 Covered Entities submitted Annual Audit Committee Reports for 2021 within the period under review. One hundred and twenty-two out of the 461 Audit Committees Reports have been rejected for being irregular because the Annual Statements contained therein were not endorsed by the Sector </w:t>
            </w:r>
            <w:r w:rsidR="0063703F"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-</w:t>
            </w: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Minister. Heads of Covered Entities have been requested to secure the sector Minister’s </w:t>
            </w: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>endorsements and resubmit the reports.</w:t>
            </w:r>
          </w:p>
          <w:p w14:paraId="0ABDB3DF" w14:textId="77777777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A3AB2" w14:textId="77777777" w:rsidR="005F72A6" w:rsidRPr="004E127D" w:rsidRDefault="005F72A6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797B" w14:textId="77777777" w:rsid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</w:tr>
      <w:tr w:rsidR="005F72A6" w:rsidRPr="004E127D" w14:paraId="32682C67" w14:textId="77777777" w:rsidTr="005F72A6">
        <w:trPr>
          <w:trHeight w:val="70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B41C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71E3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7D187" w14:textId="77777777" w:rsidR="005F72A6" w:rsidRP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4E0D7F" w14:textId="52617D1F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40 additional ACs expected to be established.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6898BA" w14:textId="0109DFCA" w:rsidR="005F72A6" w:rsidRPr="00AD4591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AD459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6 additional audit committees established. 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E5F" w14:textId="77777777" w:rsidR="005F72A6" w:rsidRPr="004E127D" w:rsidRDefault="005F72A6" w:rsidP="005F72A6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6471" w14:textId="77777777" w:rsidR="005F72A6" w:rsidRDefault="005F72A6" w:rsidP="005F72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</w:tr>
    </w:tbl>
    <w:p w14:paraId="305717C5" w14:textId="77777777" w:rsidR="00497948" w:rsidRPr="004E127D" w:rsidRDefault="00497948" w:rsidP="00497948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497948" w:rsidRPr="004E127D" w:rsidSect="005F72A6">
          <w:pgSz w:w="15840" w:h="12240" w:orient="landscape"/>
          <w:pgMar w:top="450" w:right="1440" w:bottom="1440" w:left="1440" w:header="720" w:footer="720" w:gutter="0"/>
          <w:cols w:space="720"/>
          <w:docGrid w:linePitch="360"/>
        </w:sectPr>
      </w:pPr>
    </w:p>
    <w:p w14:paraId="2CC5E121" w14:textId="77777777" w:rsidR="008C4195" w:rsidRDefault="00000000"/>
    <w:sectPr w:rsidR="008C4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EB90" w14:textId="77777777" w:rsidR="007F391A" w:rsidRDefault="007F391A" w:rsidP="0012305D">
      <w:pPr>
        <w:spacing w:after="0" w:line="240" w:lineRule="auto"/>
      </w:pPr>
      <w:r>
        <w:separator/>
      </w:r>
    </w:p>
  </w:endnote>
  <w:endnote w:type="continuationSeparator" w:id="0">
    <w:p w14:paraId="09B3470E" w14:textId="77777777" w:rsidR="007F391A" w:rsidRDefault="007F391A" w:rsidP="0012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4845" w14:textId="77777777" w:rsidR="007F391A" w:rsidRDefault="007F391A" w:rsidP="0012305D">
      <w:pPr>
        <w:spacing w:after="0" w:line="240" w:lineRule="auto"/>
      </w:pPr>
      <w:r>
        <w:separator/>
      </w:r>
    </w:p>
  </w:footnote>
  <w:footnote w:type="continuationSeparator" w:id="0">
    <w:p w14:paraId="4CBEEE74" w14:textId="77777777" w:rsidR="007F391A" w:rsidRDefault="007F391A" w:rsidP="00123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48"/>
    <w:rsid w:val="00021CEC"/>
    <w:rsid w:val="000849C3"/>
    <w:rsid w:val="000D6486"/>
    <w:rsid w:val="0012305D"/>
    <w:rsid w:val="00131FCD"/>
    <w:rsid w:val="00231249"/>
    <w:rsid w:val="00232C2E"/>
    <w:rsid w:val="00291BC8"/>
    <w:rsid w:val="00403C04"/>
    <w:rsid w:val="0040740E"/>
    <w:rsid w:val="00497948"/>
    <w:rsid w:val="004C2EDB"/>
    <w:rsid w:val="00582F84"/>
    <w:rsid w:val="005F72A6"/>
    <w:rsid w:val="00635F8C"/>
    <w:rsid w:val="0063703F"/>
    <w:rsid w:val="00642FA6"/>
    <w:rsid w:val="00666FF4"/>
    <w:rsid w:val="006B5A17"/>
    <w:rsid w:val="00727CDA"/>
    <w:rsid w:val="00752E82"/>
    <w:rsid w:val="007710E2"/>
    <w:rsid w:val="007B6D1A"/>
    <w:rsid w:val="007C7050"/>
    <w:rsid w:val="007D1C62"/>
    <w:rsid w:val="007F391A"/>
    <w:rsid w:val="00835F74"/>
    <w:rsid w:val="009647AF"/>
    <w:rsid w:val="00972E88"/>
    <w:rsid w:val="009B1BE8"/>
    <w:rsid w:val="009F31E2"/>
    <w:rsid w:val="00A15425"/>
    <w:rsid w:val="00A9423F"/>
    <w:rsid w:val="00AD1EBE"/>
    <w:rsid w:val="00AD4591"/>
    <w:rsid w:val="00B63BF2"/>
    <w:rsid w:val="00CA3A56"/>
    <w:rsid w:val="00CA5C97"/>
    <w:rsid w:val="00D5633F"/>
    <w:rsid w:val="00E020F5"/>
    <w:rsid w:val="00E157DB"/>
    <w:rsid w:val="00E3284E"/>
    <w:rsid w:val="00E43B9A"/>
    <w:rsid w:val="00E565EF"/>
    <w:rsid w:val="00E9130A"/>
    <w:rsid w:val="00F11421"/>
    <w:rsid w:val="00F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1DBA"/>
  <w15:chartTrackingRefBased/>
  <w15:docId w15:val="{47794E61-EE05-46FA-89CF-E0C33A49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5D"/>
  </w:style>
  <w:style w:type="paragraph" w:styleId="Footer">
    <w:name w:val="footer"/>
    <w:basedOn w:val="Normal"/>
    <w:link w:val="FooterChar"/>
    <w:uiPriority w:val="99"/>
    <w:unhideWhenUsed/>
    <w:rsid w:val="0012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5D"/>
  </w:style>
  <w:style w:type="table" w:styleId="TableGrid">
    <w:name w:val="Table Grid"/>
    <w:basedOn w:val="TableNormal"/>
    <w:uiPriority w:val="39"/>
    <w:qFormat/>
    <w:rsid w:val="00232C2E"/>
    <w:pPr>
      <w:spacing w:after="0" w:line="240" w:lineRule="auto"/>
    </w:pPr>
    <w:rPr>
      <w:rFonts w:ascii="Calibri" w:eastAsia="SimSun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A7F0-4AA4-4A89-AB7C-2E3EF7E5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Thelma Ohene-Asiamah</dc:creator>
  <cp:keywords/>
  <dc:description/>
  <cp:lastModifiedBy>Mrs. Thelma Ohene-Asiamah</cp:lastModifiedBy>
  <cp:revision>3</cp:revision>
  <cp:lastPrinted>2023-01-18T13:45:00Z</cp:lastPrinted>
  <dcterms:created xsi:type="dcterms:W3CDTF">2023-07-31T13:01:00Z</dcterms:created>
  <dcterms:modified xsi:type="dcterms:W3CDTF">2023-07-31T13:07:00Z</dcterms:modified>
</cp:coreProperties>
</file>